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25 109 vom 17. Februar 2026</w:t>
      </w:r>
    </w:p>
    <w:p>
      <w:r>
        <w:t>VS Kantonsgericht, 2026-02-17, FR</w:t>
      </w:r>
    </w:p>
    <w:p>
      <w:r>
        <w:rPr>
          <w:b/>
        </w:rPr>
        <w:t xml:space="preserve">Quelle: </w:t>
      </w:r>
      <w:r>
        <w:t>https://mcp.opencaselaw.ch/entscheid/vs_gerichte_A1 25 109</w:t>
      </w:r>
    </w:p>
    <w:p>
      <w:r>
        <w:t>FR: VS_GERICHTE A1 25 109 du 17 février 2026</w:t>
      </w:r>
    </w:p>
    <w:p>
      <w:r>
        <w:t>IT: VS_GERICHTE A1 25 109 del 17 febbraio 2026</w:t>
      </w:r>
    </w:p>
    <w:p>
      <w:pPr>
        <w:pStyle w:val="Heading2"/>
      </w:pPr>
      <w:r>
        <w:t>Erwägungen</w:t>
      </w:r>
    </w:p>
    <w:p>
      <w:r>
        <w:rPr>
          <w:b/>
        </w:rPr>
        <w:t>E. 1.1</w:t>
      </w:r>
    </w:p>
    <w:p>
      <w:r>
        <w:t>Interjeté le premier jour ouvrable suivant la Fête-Dieu (19 juin 2025), qui est un jour férié officiel, contre une décision notifiée le 19 mai 2025, le recours respecte le délai légal de trente jours (80 al. 1 let. b, 46 al. 1 et 15 al. 2 let. b LPJA ; art. 1 du règlement d’exécution du 9 juillet 1936 de la loi sur le repos du dimanche et les jours de fête [RS/VS 822.200] ; art. 3 de la loi d'application du 13 septembre 2012 de la loi fédérale sur les étrangers [LALEtr ; RS/VS 142.1]).</w:t>
      </w:r>
    </w:p>
    <w:p>
      <w:r>
        <w:rPr>
          <w:b/>
        </w:rPr>
        <w:t>E. 1.2</w:t>
      </w:r>
    </w:p>
    <w:p>
      <w:r>
        <w:t>La recourante, agissant pour son neveu, a la qualité pour recourir, étant donné qu'elle a participé en tant que partie à la procédure devant l’autorité intimée, qu'elle est spécialement touchée par la décision attaquée et qu'elle a un intérêt digne de protection à son annulation (art. 80 al. 1 let. a et 44 al. 1 let. a LPJA).</w:t>
      </w:r>
    </w:p>
    <w:p>
      <w:r>
        <w:rPr>
          <w:b/>
        </w:rPr>
        <w:t>E. 2</w:t>
      </w:r>
    </w:p>
    <w:p>
      <w:r>
        <w:t>LPJA applicable par renvoi des art. 80 al. 1 let. d et 56 al. 1 LPJA).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146 II 73 consid. 5.2.2). En particulier, le droit d'être entendu ne comprend pas le droit d'être entendu oralement, ni celui d'obtenir l'audition de témoins (ATF 140 I 68 consid. 9.6.1 ; arrêt du Tribunal fédéral 2C_256/2024 du 24 septembre 2024 consid. 4.1) ; l'autorité de jugement peut renoncer à faire citer des témoins si elle peut dénier à ces témoignages une valeur probante décisive sur l’issue du litige (ATF 130 II 425 consid. 2.1 ; arrêts du Tribunal fédéral 2C_484/2023 du 23 janvier 2024 consid. 4.1 et 2C_850/2014 du 10 juin 2016 consid. 6.1, non publié in ATF 142 II 388).</w:t>
      </w:r>
    </w:p>
    <w:p>
      <w:r>
        <w:rPr>
          <w:b/>
        </w:rPr>
        <w:t>E. 2.1</w:t>
      </w:r>
    </w:p>
    <w:p>
      <w:r>
        <w:t>Le droit d’être entendu garanti par l’art. 29 al. 2 Cst. comprend notamment le droit pour un justiciable de produire des preuves pertinentes et d’obtenir qu’il soit donné suite à ses offres de preuves pertinentes, lorsque cela est de nature à influer sur la décision à rendre (ATF 149 I 91 consid. 3.2 et 148 II 73 consid. 7.3.1 ; cf. également l’art. 17 al.</w:t>
      </w:r>
    </w:p>
    <w:p>
      <w:r>
        <w:rPr>
          <w:b/>
        </w:rPr>
        <w:t>E. 2.2</w:t>
      </w:r>
    </w:p>
    <w:p>
      <w:r>
        <w:t>En l’occurrence, le dossier complet du Conseil d’Etat a été produit le 27 août 2025, de sorte que la requête de la recourante en ce sens est satisfaite. S’agissant de l’enquête sociale visant à prouver l’intégration de son neveu, la recourante explique qu’elle devrait</w:t>
      </w:r>
    </w:p>
    <w:p>
      <w:r>
        <w:t>- 10 - être menée auprès d’elle-même et de cet enfant (cf. p. 2 du recours), dans le but de démontrer l’intégration en Suisse de l’enfant et sa bonne adaptation à l’enseignement scolaire dispensé en français, alors qu’il était scolarisé dans un milieu anglophone au Cameroun. Par « enquête sociale », la recourante se réfère vraisemblablement à un document similaire à celui intitulé « rapport d’enquête sociale de Dame X _________ », établi le</w:t>
      </w:r>
    </w:p>
    <w:p>
      <w:r>
        <w:rPr>
          <w:b/>
        </w:rPr>
        <w:t>E. 6</w:t>
      </w:r>
    </w:p>
    <w:p>
      <w:r>
        <w:t>Les considérants qui précèdent conduisent au rejet du recours (art. 60 al. 1 LPJA par renvoi de l’art. 80 al. 1 let. e LPJA).</w:t>
      </w:r>
    </w:p>
    <w:p>
      <w:r>
        <w:rPr>
          <w:b/>
        </w:rPr>
        <w:t>E. 6.1</w:t>
      </w:r>
    </w:p>
    <w:p>
      <w:r>
        <w:t>Vu l'issue du litige, les frais de la cause sont mis à la charge de la recourante (art. 89 al. 1 LPJA) qui n’a pas droit à des dépens (art. 91 al. 1 LPJA a contrario).</w:t>
      </w:r>
    </w:p>
    <w:p>
      <w:r>
        <w:rPr>
          <w:b/>
        </w:rPr>
        <w:t>E. 6.2</w:t>
      </w:r>
    </w:p>
    <w:p>
      <w:r>
        <w:t>Sur le vu des principes de la couverture des frais et de l’équivalence des prestations et compte tenu des critères d'appréciation et des limites des art. 13 al. 1 et 25 de la loi du 11 février 2009 fixant le tarif des frais et dépens devant les autorités judiciaires ou administratives (LTar ; RS/VS 173.8), l'émolument de justice est fixé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